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3E" w:rsidRPr="009A2A91" w:rsidRDefault="009A2A91" w:rsidP="005335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43E" w:rsidRPr="002C343E" w:rsidRDefault="009A2A91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2C343E" w:rsidRPr="002C343E" w:rsidRDefault="009A2A91" w:rsidP="009E1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 РАСПРЕДЕЛЕНИЯ СУБСИДИЙ НА ПЕРЕСЕЛЕНИЕ ГРАЖДАН ИЗ ЖИЛИЩНОГО ФОНДА, ПРИЗНАННОГО НЕПРИГОДНЫМ ДЛЯ ПРОЖИВАНИЯ, </w:t>
      </w:r>
      <w:proofErr w:type="gramStart"/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(ИЛИ) ЖИЛИЩНОГО ФОНДА С ВЫСОКИМ УРОВНЕМ ИЗНОСА</w:t>
      </w:r>
    </w:p>
    <w:p w:rsidR="002C343E" w:rsidRPr="002C343E" w:rsidRDefault="002C343E" w:rsidP="002C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предоставления и распределения субсидий на переселение граждан из жилищного фонда, признанного непригодным для проживания, и (или) жилищного фонда с высоким уровнем износа (далее – Порядок) разработан в соответствии с Бюджетным кодексом Российской Федерации и постановлением Правительства Ярославской области от 17.07.2020 № 605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и определяет механизм и условия предоставления из областного бюджета муниципальным образованиям Ярославской области (далее – муниципальные образования области) субсидии на переселение граждан из жилищного фонда, признанного непригодным для проживания, и (или) жилищного фонда с высоким уровнем износа (далее – субсидия). Субсидия предоставляется в рамках задачи «</w:t>
      </w:r>
      <w:r w:rsidRPr="002C3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Переселение граждан из жилищного фонда, признанного непригодным для проживания, и (или) жилищного фонда с высоким уровнем износа»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ведомственного проекта «Переселение граждан из жилищного фонда, признанного непригодным для проживания, и (или) жилищного фонда с высоким уровнем износа» государственной программы Ярославской области «Обеспечение доступным и комфортным жильем населения Ярославской области» на 2024 – 2030 годы (далее – задача), утвержденной постановлением Правительства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от 27.03.2024 № 393-п «Об утверждении государственной программы Ярославской области "Обеспечение доступным и комфортным жильем населения Ярославской области" на 2024 – 2030 годы и порядков предоставления субсидий и о признании утратившими силу и частично утратившими силу отдельных постановлений Правительства области».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средств, предусмотренных на предоставление субсидии, является министерство строительства и жилищно-коммунального хозяйства Ярославской области (далее – министерство). (абзац в ред. постановления от 18.03.2025 №257-п)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Субсидии предоставляются муниципальным образованиям области, участвующим в реализации задачи, </w:t>
      </w:r>
      <w:proofErr w:type="gram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proofErr w:type="gram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законом об областном бюджете бюджетных ассигнований на текущий финансовый год.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отбора муниципальных образований области для предоставления субсидий является наличие на территории муниципального образования области жилищного фонда, признанного непригодным для проживания, и (или) жилищного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фонда с высоким уровнем износа (аварийного жилищного фонда), а именно наличие одного или нескольких обстоятельств: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многоквартирных домов на территории муниципального образования области, поставленных на контроль публично-правовой компании «Фонд развития территорий» и (или) Министерства строительства и жилищно-коммунального хозяйства Российской Федерации, Правительства Ярославской области;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факта частичного обрушения многоквартирного дома, расположенного на территории муниципального образования области;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существование угрозы обрушения многоквартирного дома, расположенного на территории муниципального образования области, и угрозы жизни и здоровью граждан, проживающих в многоквартирном доме, расположенном на территории муниципального образования области.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предоставления и расходования субсидий: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разработанной и утвержденной муниципальной программы, на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предоставляются субсидии, а также соответствие мероприятий муниципальной программы требованиям задачи;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заявок муниципальных образований области на реализацию мероприятий задачи путем приобретения жилья в муниципальную собственность, в том числе в строящихся домах, долевого участия в строительстве или строительства домов;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местном бюджете ассигнований на реализацию мероприятий задачи с обеспечением уровня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Порядком;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субсидии (далее – соглашение), заключенного между министерством и муниципальным образованием области в государственной информационной системе «Единая интегрированная информационная система управления бюджетным процессом "Электронный бюджет Ярославской области"»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 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целевых направлений расходования субсидии, установленных Порядком;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обязательств по достижению значений показателей результата использования субсидии, установленных соглашением;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в муниципальном образовании области реестра судебных решений с указанием даты вступления их в законную силу;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реестра муниципальных контрактов с копиями соответствующих контрактов;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субсидии, установленных соглашением, а также пунктом 13 Порядка;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показателей результата использования субсидии, по соблюдению уровня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из местного бюджета.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4.Размер субсидии определяется с учетом объема средств, предусмотренных областным бюджетом, и выполнения муниципальными образованиями области условий задачи в части приобретения жилья в муниципальную собственность, в том числе в строящихся домах, долевого участия в строительстве или строительства домов.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установленного уровня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за счет средств областного бюджета, площади расселяемых жилых помещений, стоимости 1 квадратного метра, в зависимости от способа переселения.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(С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министерством по следующей формуле: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(S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жп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) × Y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343E" w:rsidRPr="002C343E" w:rsidRDefault="002C343E" w:rsidP="002C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S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жп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площадь жилых помещений, подлежащих предоставлению гражданам в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муниципальном образовании области, указанная в заявке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 на реализацию мероприятий задачи в текущем году (квадратных метров);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предельная стоимость 1 квадратного метра общей площади жилых помещений в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муниципальном образовании области (тыс. руб.), определяемая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муниципальным образованием области, которая рассчитывается как отношение общей стоимости контрактов на приобретение (строительство) жилых помещений в i-м муниципальном образовании области в рамках реализации мероприятий задачи в предыдущем году к общей площади приобретенных (построенных) в соответствии с данными контрактами жилых помещений и не может превышать размера средней рыночной стоимости 1 квадратного метра общей площади жилья по Ярославской области, установленного на 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текущего года приказом Министерства строительства и жилищно-коммунального хозяйства Российской Федерации. Для муниципальных образований области, не принимавших участия в мероприятиях задачи в предыдущем году, предельная стоимость 1 квадратного метра общей площади жилых помещений принимается равной средней рыночной стоимости 1 квадратного метра общей площади жилья по Ярославской области, установленной на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 квартал текущего года приказом Министерства строительства и жилищно-коммунального хозяйства Российской Федерации;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площадь изымаемых у граждан жилых помещений, за которые гражданам выплачивается возмещение в соответствии с частью 7 статьи 32 Жилищного кодекса Российской Федерации, указанная в заявке i-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 на реализацию мероприятий задачи в текущем году (квадратных метров);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стоимость 1 </w:t>
      </w:r>
      <w:proofErr w:type="gram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квадратного метра общей площади</w:t>
      </w:r>
      <w:proofErr w:type="gram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изымаемого у собственника жилого помещения, рассчитываемая в соответствии с Методикой расчета стоимости 1 квадратного метра общей площади изымаемого у собственника жилого помещения, применяемой в целях расчета размера субсидии, приведенной в приложении 1 к Порядку;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Y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уровень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области за счет средств областного бюджета.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за счет средств областного бюджета устанавливается в зависимости от вида муниципального образования: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95 процентов – для бюджетов сельских поселений;</w:t>
      </w:r>
      <w:r w:rsidRPr="002C343E">
        <w:rPr>
          <w:rFonts w:ascii="Times New Roman" w:eastAsia="Times New Roman" w:hAnsi="Times New Roman" w:cs="Calibri"/>
          <w:sz w:val="28"/>
        </w:rPr>
        <w:t xml:space="preserve"> (абзац в ред. постановления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18.03.2025 №257-п)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90 процентов – для бюджетов городских поселений;</w:t>
      </w:r>
      <w:r w:rsidRPr="002C343E">
        <w:rPr>
          <w:rFonts w:ascii="Times New Roman" w:eastAsia="Times New Roman" w:hAnsi="Times New Roman" w:cs="Calibri"/>
          <w:sz w:val="28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ред. постановления от 18.03.2025 №257-п)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85 процентов – для бюджетов городских (муниципальных) округов. (абзац в ред. постановлений от 11.11.2024 №1155-п, от 18.03.2025 №257-п)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муниципального образования области из областного бюджета, установленный постановлением Правительства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от 18.11.2024 № 1196-п "О предельном уровне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муниципального образования Ярославской области из областного бюджета на 2025 год и на плановый период 2026 и 2027 годов", применяется для расчета размера субсидии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в том случае, если указанный предельный уровень меньше уровня, предусмотренного абзацами десятым – двенадцатым данного пункта.</w:t>
      </w:r>
      <w:r w:rsidRPr="002C343E">
        <w:rPr>
          <w:rFonts w:ascii="Times New Roman" w:eastAsia="Times New Roman" w:hAnsi="Times New Roman" w:cs="Calibri"/>
          <w:sz w:val="28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ред. постановления от 18.03.2025 №257-п)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объем бюджетных ассигнований областного бюджета, предусмотренный на реализацию мероприятий задачи в текущем году, меньше суммы потребности муниципальных образований области, то при распределении субсидии между муниципальными образованиями области министерство применяет поправочный коэффициент (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с учетом недостаточности бюджетных ассигнований (С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2C343E" w:rsidRPr="002C343E" w:rsidRDefault="002C343E" w:rsidP="002C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343E" w:rsidRPr="002C343E" w:rsidRDefault="002C343E" w:rsidP="002C34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субсидии i-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области, рассчитанный в соответствии с абзацем третьим данного пункта;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коэффициент, рассчитанный как отношение объема бюджетных ассигнований областного бюджета, предусмотренного на реализацию мероприятий задачи в текущем году, к общей сумме потребности в субсидии муниципальных образований области.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Для заключения соглашения органы местного самоуправления муниципальных образований области представляют в министерство следующие документы: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органов местного самоуправления муниципальных образований области в рамках муниципальной программы, на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между министерством и муниципальным образованием области в срок не позднее 15 февраля текущего финансового года. В случае,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между министерством и муниципальным образованием области заключается в срок не позднее 30 дней после дня вступления в силу указанного закона.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Предоставление субсидии осуществляется путем перечисления денежных средств в местный бюджет после представления муниципального контракта (договора) на приобретение в собственность муниципального образования области объекта недвижимого имущества, в том числе в строящихся домах, муниципального контракта (договора) долевого участия в строительстве или муниципального контракта (договора) на строительство дома, соглашения о выплате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осуществляется в следующем порядке: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перечисление субсидии в бюджеты муниципальных образований области осуществляется с учетом доведенных до администраторов доходов предельных объемов финансирования и кассового плана областного бюджета, утвержденного на соответствующий месяц;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перечисление субсидии в бюджеты муниципальных образований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бюджеты муниципальных образований Ярославской области;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муниципальным образованиям области осуществляется по платежным реквизитам получателя субсидии, указанным в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соглашении, на казначейский счет для осуществления и отражения операций по учету и распределению поступлений, открытый Управлению Федерального казначейства по Ярославской области.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за счет средств областного бюджета не перечислена (частично или в полном объеме), при этом документы, в том числе подтверждающие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неперечисленный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субсидии подлежит предоставлению в рамках лимитов бюджетных обязательств текущего финансового года.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 соглашения в текущем году на указанные цели повторного представления документов, подтверждающих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местного бюджета, не требуется.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 случае если по соглашению, заключенному в отчетном году, показатели результата использования субсидии достигнуты и в текущем году средства предоставляются на исполнение обязательств областного бюджета по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софинансированию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местного бюджета прошлого года, в соглашении текущего года значения показателей результата не устанавливаются.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Авансирование работ путем долевого участия в строительстве или строительства домов может осуществляться в соответствии с заключенными муниципальными контрактами. Окончательный расчет производится на основании актов выполненных работ.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Субсидия не предоставляется при невыполнении муниципальным образованием области условий предоставления и расходования субсидии.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Министерство уточняет и перераспределяет бюджетные ассигнования в рамках субсидии между муниципальными образованиями области с учетом фактического освоения средств на реализацию ведомственного проекта «Переселение граждан из жилищного фонда, признанного непригодным для проживания, и (или) жилищного фонда с высоким уровнем износа», а также результата использования и эффективности использования субсидии соответствующим муниципальным образованием области с последующим уведомлением министерства финансов Ярославской области (далее – министерство финансов) о произведенных изменениях.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Органы местного самоуправления муниципальных образований области представляют в министерство: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расходах, в целях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по форме согласно приложению 5 к типовой форме – в срок не позднее 5-го числа месяца, следующего за месяцем, в котором получена субсидия;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 по форме согласно приложению 6 к типовой форме – в срок не позднее 15 января года, следующего за годом, в котором была получена субсидия;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отчет о реализации мероприятий задачи по форме согласно приложению 2 к Порядку – ежемесячно в срок до 5-го числа месяца, следующего за отчетным.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имеет право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Остаток субсидии, не использованной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Министерство принимает решения о наличии (об отсутствии) потребности в неиспользованных остатках межбюджетных трансфертов в течение 7 рабочих дней с момента получения документов,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утвержденного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установлении отсутствия у муниципальных образований области потребности в субсидии остаток неиспользованных средств подлежит возврату в доход областного бюджета в соответствии с пунктом 2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утвержденного постановлением Правительства Ярославской области от 03.02.2017 № 75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Субсидия имеет целевое назначение.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недостоверность, несвоевременность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бюджетов, осуществляющих расходование субсидии.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нецелевое расходование средств возлагается на муниципальные образования области и соответствующих главных распорядителей средств местных бюджетов.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целевым использованием субсидий осуществляется в соответствии с действующим законодательством.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органами местного самоуправления муниципальных образований области условий предоставления субсидии осуществляется министерством и органом исполнительной власти Ярославской области, осуществляющим функции по контролю и надзору в финансово-бюджетной сфере.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В случае уменьшения потребности в субсидиях по результатам проведенных конкурсов или аукционов, а также в случае прекращения потребности в субсидиях в муниципальных образованиях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обстоятельств, влекущих прекращение потребности в предоставлении субсидии.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Оценка степени достижения результата использования и эффективности использования субсидии осуществляется министерством ежегодно на основании представляемых муниципальными образованиями области: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копий заключенных муниципальных контрактов на приобретение жилых помещений, в том числе в строящихся домах, путем долевого участия в строительстве или строительства домов – при реализации мероприятий задачи путем приобретения жилых помещений;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отчетов, указанных в пункте 13 Порядка.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Показателями результата использования субсидии являются: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переселенных граждан;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площадь предоставленных жилых помещений.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 (R') рассчитывается по формуле: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R' = SUM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Кn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Xnтек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Xnплан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.),</w:t>
      </w:r>
    </w:p>
    <w:p w:rsidR="002C343E" w:rsidRPr="002C343E" w:rsidRDefault="002C343E" w:rsidP="002C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Кn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весовой коэффициент;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Xnтек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текущее значение показателя результата использования субсидии;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Xnплан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плановое значение показателя результата использования субсидии.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степени достижения результата использования субсидии применяются весовые коэффициенты показателей результата использования субсидии:</w:t>
      </w:r>
    </w:p>
    <w:p w:rsidR="002C343E" w:rsidRPr="002C343E" w:rsidRDefault="002C343E" w:rsidP="002C343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5113"/>
        <w:gridCol w:w="3676"/>
      </w:tblGrid>
      <w:tr w:rsidR="002C343E" w:rsidRPr="002C343E" w:rsidTr="00DD0DD3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 результата использования субсидии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весового коэффициента</w:t>
            </w:r>
          </w:p>
        </w:tc>
      </w:tr>
      <w:tr w:rsidR="002C343E" w:rsidRPr="002C343E" w:rsidTr="00DD0DD3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Количество переселенных граждан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C343E" w:rsidRPr="002C343E" w:rsidTr="00DD0DD3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Общая площадь предоставленных жилых помещений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C343E" w:rsidRPr="002C343E" w:rsidTr="00DD0DD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C343E" w:rsidRPr="002C343E" w:rsidRDefault="002C343E" w:rsidP="002C34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субсидии (R) рассчитывается по формуле: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Fтек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Fплан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.) × 100 %,</w:t>
      </w:r>
    </w:p>
    <w:p w:rsidR="002C343E" w:rsidRPr="002C343E" w:rsidRDefault="002C343E" w:rsidP="002C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R' – степень достижения результата использования субсидии;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Fтек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сумма финансирования на текущую дату;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Fплан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плановая сумма финансирования.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95 процентов и более эффективность использования субсидии признается высокой, при значении от 90 до 95 процентов – средней, при значении менее 90 процентов – низкой.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 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случаев, указанных в абзаце первом данного пункта, министерство в срок не позднее 15 марта года, следующего за годом предоставления субсидии, направляет в адрес соответствующего муниципального образования области согласованное с министерством финансов требование о возврате средств местного бюджета в доход областного бюджета в срок до 01 апреля года, следующего за годом предоставления субсидии.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в срок не позднее 15 апреля года, следующего за годом предоставления субсидии, представляет в министерство финансов информацию о возврате (невозврате) муниципальными образованиями области средств местного бюджета в областной бюджет в установленный срок.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:rsidR="002C343E" w:rsidRPr="002C343E" w:rsidRDefault="002C343E" w:rsidP="002C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нецелевого использования субсидии муниципальным образованием области к нему применяются бюджетные меры принуждения, предусмотренные законодательством Российской Федерации.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sectPr w:rsidR="002C343E" w:rsidRPr="002C343E" w:rsidSect="009A2A91">
          <w:headerReference w:type="default" r:id="rId6"/>
          <w:headerReference w:type="first" r:id="rId7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Приложение 1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 Порядку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 распределения субсидий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на переселение граждан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из жилищного фонда, признанного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непригодным для проживания,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 (или) жилищного фонда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 высоким уровнем износа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расчета стоимости 1 квадратного метра общей площади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изымаемого у собственника жилого помещения, применяемая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целях расчета размера субсидии на переселение граждан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жилищного фонда, признанного непригодным для проживания,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(или) жилищного фонда с высоким уровнем износа</w:t>
      </w:r>
    </w:p>
    <w:p w:rsidR="002C343E" w:rsidRPr="002C343E" w:rsidRDefault="002C343E" w:rsidP="002C343E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стоимости 1 </w:t>
      </w:r>
      <w:proofErr w:type="gram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квадратного метра общей площади</w:t>
      </w:r>
      <w:proofErr w:type="gram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изымаемого у собственника жилого помещения (Си) определяется по следующей формуле:</w:t>
      </w:r>
    </w:p>
    <w:p w:rsidR="002C343E" w:rsidRPr="002C343E" w:rsidRDefault="002C343E" w:rsidP="002C343E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 =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нж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ст.зем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343E" w:rsidRPr="002C343E" w:rsidRDefault="002C343E" w:rsidP="002C343E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где: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рыночная стоимость 1 квадратного метра общей площади жилого помещения;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нж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непригодности жилья, равный 0,4;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ст.зем</w:t>
      </w:r>
      <w:proofErr w:type="spellEnd"/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стоимости земельного участка.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Рыночная стоимость 1 квадратного метра общей площади жилого помещения определяется на основании данных Территориального органа Федеральной службы государственной статистики по Ярославской области о средних ценах и индексах цен на рынке жилья по Ярославской области на квартал, в котором осуществляется расчет. Применяется средняя цена 1 квадратного метра общей площади для вторичного рынка всех типов квартир.</w:t>
      </w:r>
    </w:p>
    <w:p w:rsidR="002C343E" w:rsidRPr="002C343E" w:rsidRDefault="002C343E" w:rsidP="002C343E">
      <w:pPr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стоимости земельного участка определяется по группам муниципальных образований Ярославской области (далее – муниципальные образования области) на основании данных о кадастровой стоимости 1 квадратного метра земель населенных пунктов по городским и муниципальным округам» Ярославской области.</w:t>
      </w:r>
      <w:r w:rsidRPr="002C343E">
        <w:rPr>
          <w:rFonts w:ascii="Times New Roman" w:eastAsia="Times New Roman" w:hAnsi="Times New Roman" w:cs="Calibri"/>
          <w:sz w:val="28"/>
        </w:rPr>
        <w:t xml:space="preserve"> 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 ред. постановлений от 11.11.2024 №1155-п, от 18.03.2025 №257-п)</w:t>
      </w:r>
    </w:p>
    <w:p w:rsidR="002C343E" w:rsidRPr="002C343E" w:rsidRDefault="002C343E" w:rsidP="002C343E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Коэффициент стоимости земельных участков по группам</w:t>
      </w:r>
    </w:p>
    <w:p w:rsidR="002C343E" w:rsidRPr="002C343E" w:rsidRDefault="002C343E" w:rsidP="002C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 образований области</w:t>
      </w:r>
    </w:p>
    <w:p w:rsidR="002C343E" w:rsidRPr="002C343E" w:rsidRDefault="002C343E" w:rsidP="002C343E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812"/>
        <w:gridCol w:w="2835"/>
      </w:tblGrid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 области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стоимости земельного участка, процентов</w:t>
            </w:r>
          </w:p>
        </w:tc>
      </w:tr>
    </w:tbl>
    <w:p w:rsidR="002C343E" w:rsidRPr="002C343E" w:rsidRDefault="002C343E" w:rsidP="002C343E">
      <w:pPr>
        <w:spacing w:after="0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812"/>
        <w:gridCol w:w="2835"/>
      </w:tblGrid>
      <w:tr w:rsidR="002C343E" w:rsidRPr="002C343E" w:rsidTr="00DD0DD3">
        <w:trPr>
          <w:tblHeader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343E" w:rsidRPr="002C343E" w:rsidTr="00DD0DD3">
        <w:tc>
          <w:tcPr>
            <w:tcW w:w="9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группа муниципальных образований области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Переславль-Залесский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Ярославль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2C343E" w:rsidRPr="002C343E" w:rsidTr="00DD0DD3">
        <w:tc>
          <w:tcPr>
            <w:tcW w:w="9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группа муниципальных образований области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город Рыбинск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Угличский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C343E" w:rsidRPr="002C343E" w:rsidTr="00DD0DD3">
        <w:tc>
          <w:tcPr>
            <w:tcW w:w="9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группа муниципальных образований области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Гаврилов-</w:t>
            </w: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Тутаевский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C343E" w:rsidRPr="002C343E" w:rsidTr="00DD0DD3">
        <w:tc>
          <w:tcPr>
            <w:tcW w:w="9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группа муниципальных образований области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Даниловский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Мышкинский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2C343E" w:rsidRPr="002C343E" w:rsidTr="00DD0DD3">
        <w:tc>
          <w:tcPr>
            <w:tcW w:w="9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группа муниципальных образований области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Большесельский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Борисоглебский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Брейтовский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Некоузский</w:t>
            </w:r>
            <w:proofErr w:type="spellEnd"/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Пошехонский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2C343E" w:rsidRPr="002C343E" w:rsidTr="00DD0DD3"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180" w:lineRule="atLeast"/>
              <w:ind w:left="6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Рыбинский муниципальный округ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C343E" w:rsidRPr="002C343E" w:rsidRDefault="002C343E" w:rsidP="002C343E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sectPr w:rsidR="002C343E" w:rsidRPr="002C343E" w:rsidSect="009A2A91">
          <w:headerReference w:type="first" r:id="rId8"/>
          <w:pgSz w:w="11906" w:h="16838"/>
          <w:pgMar w:top="1134" w:right="567" w:bottom="993" w:left="1985" w:header="709" w:footer="709" w:gutter="0"/>
          <w:pgNumType w:start="11"/>
          <w:cols w:space="708"/>
          <w:docGrid w:linePitch="360"/>
        </w:sectPr>
      </w:pP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Приложение 2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 Порядку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 распределения субсидий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на переселение граждан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из жилищного фонда, признанного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непригодным для проживания,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 (или) жилищного фонда 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 высоким уровнем износа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ind w:firstLine="496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C34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Форма</w:t>
      </w: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C343E" w:rsidRPr="002C343E" w:rsidRDefault="002C343E" w:rsidP="002C343E">
      <w:pPr>
        <w:widowControl w:val="0"/>
        <w:tabs>
          <w:tab w:val="left" w:pos="387"/>
        </w:tabs>
        <w:spacing w:after="0" w:line="23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реализации мероприятий задачи «Переселение граждан из жилищного фонда, признанного непригодным для проживания, и (или) жилищного фонда с высоким уровнем износа» ведомственного проекта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«Переселение граждан из жилищного фонда, признанного непригодным для проживания, и (или) жилищного фонда с высоким уровнем износа» государственной программы Ярославской области «Обеспечение доступным и комфортным жильем населения Ярославской области»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2024 – 2030 годы 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муниципального образования</w:t>
      </w:r>
      <w:r w:rsidRPr="002C343E">
        <w:rPr>
          <w:rFonts w:ascii="Calibri" w:eastAsia="Calibri" w:hAnsi="Calibri" w:cs="Times New Roman"/>
        </w:rPr>
        <w:t xml:space="preserve"> </w:t>
      </w:r>
      <w:r w:rsidRPr="002C3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Ярославской области)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Pr="002C343E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_____________________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(отчетный период)</w:t>
      </w:r>
    </w:p>
    <w:p w:rsidR="002C343E" w:rsidRPr="002C343E" w:rsidRDefault="002C343E" w:rsidP="002C343E">
      <w:pPr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343E" w:rsidRPr="002C343E" w:rsidRDefault="002C343E" w:rsidP="002C343E">
      <w:pPr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Сведения о расселяемых и приобретаемых жилых помещениях</w:t>
      </w:r>
    </w:p>
    <w:p w:rsidR="002C343E" w:rsidRPr="002C343E" w:rsidRDefault="002C343E" w:rsidP="002C343E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49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6112"/>
        <w:gridCol w:w="2835"/>
      </w:tblGrid>
      <w:tr w:rsidR="002C343E" w:rsidRPr="002C343E" w:rsidTr="00DD0DD3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индикатора, показателя, единица измерения, способ исчисления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Фактические значения индикаторов и показателей на 20___ год</w:t>
            </w:r>
          </w:p>
        </w:tc>
      </w:tr>
    </w:tbl>
    <w:p w:rsidR="002C343E" w:rsidRPr="002C343E" w:rsidRDefault="002C343E" w:rsidP="002C343E">
      <w:pPr>
        <w:spacing w:after="0" w:line="230" w:lineRule="auto"/>
        <w:contextualSpacing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49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6105"/>
        <w:gridCol w:w="2835"/>
      </w:tblGrid>
      <w:tr w:rsidR="002C343E" w:rsidRPr="002C343E" w:rsidTr="00DD0DD3">
        <w:trPr>
          <w:tblHeader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C343E" w:rsidRPr="002C343E" w:rsidTr="00DD0D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жилых помещений, в том числе в строящихся домах, приобретенных путем долевого участия в строительстве или строительства домов для обеспечения благоустроенными жилыми помещениями граждан, переселяемых из жилищного фонда, признанного непригодным для проживания, и (или) жилищного фонда с высоким уровнем износа, квадратных метров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жилищного фонда, признанного непригодным для проживания, и (или) жилищного фонда с высоким уровнем износа, из которого переселены граждане в результате реализации задачи по переселению граждан из жилищного фонда, признанного непригодным для проживания, и (или) жилищного фонда с высоким уровнем износа, квадратных метров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6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граждан, переселенных в результате реализации задачи по переселению граждан из жилищного фонда, признанного непригодным для проживания, и (или) жилищного фонда с высоким уровнем износа, человек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2C343E" w:rsidRPr="002C343E" w:rsidRDefault="002C343E" w:rsidP="002C343E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 дальнейшем использовании земельных участков</w:t>
      </w:r>
    </w:p>
    <w:p w:rsidR="002C343E" w:rsidRPr="002C343E" w:rsidRDefault="002C343E" w:rsidP="002C343E">
      <w:pPr>
        <w:spacing w:after="0" w:line="23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4"/>
        <w:gridCol w:w="3559"/>
        <w:gridCol w:w="2410"/>
        <w:gridCol w:w="1134"/>
        <w:gridCol w:w="850"/>
        <w:gridCol w:w="993"/>
      </w:tblGrid>
      <w:tr w:rsidR="002C343E" w:rsidRPr="002C343E" w:rsidTr="00DD0DD3">
        <w:tc>
          <w:tcPr>
            <w:tcW w:w="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ское зна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чение по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вая дата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ческая дата</w:t>
            </w:r>
          </w:p>
        </w:tc>
      </w:tr>
      <w:tr w:rsidR="002C343E" w:rsidRPr="002C343E" w:rsidTr="00DD0DD3">
        <w:trPr>
          <w:tblHeader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C343E" w:rsidRPr="002C343E" w:rsidTr="00DD0DD3">
        <w:tc>
          <w:tcPr>
            <w:tcW w:w="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Снос расселенных много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квартирных домов (за ис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ключением зданий, явля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ющихся объектами куль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турного наследия)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сне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сенных много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квартирных до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мов, 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сне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сенных много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квартирных до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мов, кв.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5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перспективы использования земельных участков, высвободившихся после сноса непригодных для проживания домов, в соответствии с утвержденными генераль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ными планами городских (муниципальных) округов, городских и сельских поселений, фор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мирование и предоставле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ние в установленном по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рядке застройщикам ука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занных земельных участ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ков, в том числе под жи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лищное строительство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зе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мельных участ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ков, 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зе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мельных участ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ков, 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C343E" w:rsidRPr="002C343E" w:rsidTr="00DD0DD3">
        <w:tc>
          <w:tcPr>
            <w:tcW w:w="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ис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пользования зе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мельных участ</w:t>
            </w: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ков (адресно по каждому участку)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43E" w:rsidRPr="002C343E" w:rsidRDefault="002C343E" w:rsidP="002C343E">
            <w:pPr>
              <w:spacing w:after="0" w:line="23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34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2C343E" w:rsidRPr="002C343E" w:rsidRDefault="002C343E" w:rsidP="002C343E">
      <w:pPr>
        <w:spacing w:after="0" w:line="23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 20__ г.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органа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__________________            ________________________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</w:t>
      </w:r>
      <w:proofErr w:type="gramStart"/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(расшифровка подписи)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Главный распорядитель</w:t>
      </w:r>
    </w:p>
    <w:p w:rsidR="002C343E" w:rsidRPr="002C343E" w:rsidRDefault="002C343E" w:rsidP="002C3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 ________________       _______________________</w:t>
      </w:r>
    </w:p>
    <w:p w:rsidR="000561C0" w:rsidRDefault="002C343E" w:rsidP="002C343E"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</w:t>
      </w:r>
      <w:proofErr w:type="gramStart"/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2C3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(расшифровка подписи)</w:t>
      </w:r>
    </w:p>
    <w:sectPr w:rsidR="0005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2DF" w:rsidRDefault="00C352DF">
      <w:pPr>
        <w:spacing w:after="0" w:line="240" w:lineRule="auto"/>
      </w:pPr>
      <w:r>
        <w:separator/>
      </w:r>
    </w:p>
  </w:endnote>
  <w:endnote w:type="continuationSeparator" w:id="0">
    <w:p w:rsidR="00C352DF" w:rsidRDefault="00C3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2DF" w:rsidRDefault="00C352DF">
      <w:pPr>
        <w:spacing w:after="0" w:line="240" w:lineRule="auto"/>
      </w:pPr>
      <w:r>
        <w:separator/>
      </w:r>
    </w:p>
  </w:footnote>
  <w:footnote w:type="continuationSeparator" w:id="0">
    <w:p w:rsidR="00C352DF" w:rsidRDefault="00C35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303660"/>
      <w:docPartObj>
        <w:docPartGallery w:val="Page Numbers (Top of Page)"/>
        <w:docPartUnique/>
      </w:docPartObj>
    </w:sdtPr>
    <w:sdtEndPr/>
    <w:sdtContent>
      <w:p w:rsidR="00AB65EA" w:rsidRDefault="00AB65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1EE">
          <w:rPr>
            <w:noProof/>
          </w:rPr>
          <w:t>14</w:t>
        </w:r>
        <w:r>
          <w:fldChar w:fldCharType="end"/>
        </w:r>
      </w:p>
    </w:sdtContent>
  </w:sdt>
  <w:p w:rsidR="00AB65EA" w:rsidRDefault="00AB65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848" w:rsidRDefault="009E2848">
    <w:pPr>
      <w:pStyle w:val="a3"/>
      <w:jc w:val="center"/>
    </w:pPr>
  </w:p>
  <w:p w:rsidR="009E2848" w:rsidRDefault="009E28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91" w:rsidRDefault="009A2A91">
    <w:pPr>
      <w:pStyle w:val="a3"/>
      <w:jc w:val="center"/>
    </w:pPr>
  </w:p>
  <w:p w:rsidR="009A2A91" w:rsidRDefault="009A2A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3E"/>
    <w:rsid w:val="000561C0"/>
    <w:rsid w:val="002C343E"/>
    <w:rsid w:val="003648FF"/>
    <w:rsid w:val="0053354C"/>
    <w:rsid w:val="00627AC8"/>
    <w:rsid w:val="009A2A91"/>
    <w:rsid w:val="009E11EE"/>
    <w:rsid w:val="009E2848"/>
    <w:rsid w:val="00AB4004"/>
    <w:rsid w:val="00AB65EA"/>
    <w:rsid w:val="00C352DF"/>
    <w:rsid w:val="00C56AAE"/>
    <w:rsid w:val="00F0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D145"/>
  <w15:chartTrackingRefBased/>
  <w15:docId w15:val="{7819E386-897D-43CD-9EB6-28173077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343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2C343E"/>
    <w:rPr>
      <w:rFonts w:ascii="Times New Roman" w:eastAsia="Times New Roman" w:hAnsi="Times New Roman" w:cs="Calibri"/>
      <w:sz w:val="28"/>
    </w:rPr>
  </w:style>
  <w:style w:type="table" w:customStyle="1" w:styleId="8">
    <w:name w:val="Сетка таблицы8"/>
    <w:basedOn w:val="a1"/>
    <w:next w:val="a5"/>
    <w:uiPriority w:val="39"/>
    <w:rsid w:val="002C3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C3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E2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4610</Words>
  <Characters>26278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Кораблева Мария Сергеевна</dc:creator>
  <cp:keywords/>
  <dc:description/>
  <cp:lastModifiedBy>Овсянникова Евгения Владимировна</cp:lastModifiedBy>
  <cp:revision>11</cp:revision>
  <dcterms:created xsi:type="dcterms:W3CDTF">2025-10-27T13:43:00Z</dcterms:created>
  <dcterms:modified xsi:type="dcterms:W3CDTF">2025-10-30T10:45:00Z</dcterms:modified>
</cp:coreProperties>
</file>